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C8628" w14:textId="77777777" w:rsidR="0017164D" w:rsidRDefault="00040A97" w:rsidP="0017164D">
      <w:pPr>
        <w:jc w:val="center"/>
        <w:rPr>
          <w:rFonts w:ascii="Arial" w:hAnsi="Arial" w:cs="Arial"/>
          <w:lang w:val="es-ES_tradnl"/>
        </w:rPr>
      </w:pPr>
      <w:r w:rsidRPr="00040A97">
        <w:rPr>
          <w:rFonts w:ascii="Arial" w:hAnsi="Arial" w:cs="Arial"/>
          <w:lang w:val="es-ES_tradnl"/>
        </w:rPr>
        <w:t>C</w:t>
      </w:r>
      <w:r w:rsidR="0017164D">
        <w:rPr>
          <w:rFonts w:ascii="Arial" w:hAnsi="Arial" w:cs="Arial"/>
          <w:lang w:val="es-ES_tradnl"/>
        </w:rPr>
        <w:t>ambio de licenciatura en la misma División y Unidad</w:t>
      </w:r>
      <w:r w:rsidRPr="00040A97">
        <w:rPr>
          <w:rFonts w:ascii="Arial" w:hAnsi="Arial" w:cs="Arial"/>
          <w:lang w:val="es-ES_tradnl"/>
        </w:rPr>
        <w:t xml:space="preserve"> </w:t>
      </w:r>
      <w:r w:rsidR="0017164D">
        <w:rPr>
          <w:rFonts w:ascii="Arial" w:hAnsi="Arial" w:cs="Arial"/>
          <w:lang w:val="es-ES_tradnl"/>
        </w:rPr>
        <w:t xml:space="preserve">y </w:t>
      </w:r>
    </w:p>
    <w:p w14:paraId="017E92E8" w14:textId="68852F17" w:rsidR="00890CEC" w:rsidRDefault="0017164D" w:rsidP="0017164D">
      <w:pPr>
        <w:jc w:val="center"/>
        <w:rPr>
          <w:rFonts w:ascii="Arial" w:hAnsi="Arial" w:cs="Arial"/>
          <w:lang w:val="es-ES_tradnl"/>
        </w:rPr>
      </w:pPr>
      <w:r>
        <w:rPr>
          <w:rFonts w:ascii="Arial" w:hAnsi="Arial" w:cs="Arial"/>
          <w:lang w:val="es-ES_tradnl"/>
        </w:rPr>
        <w:t>Cambios de Unidad para el mismo tipo de División.</w:t>
      </w:r>
    </w:p>
    <w:p w14:paraId="45D6B4ED" w14:textId="30160407" w:rsidR="007E4A6F" w:rsidRPr="007E4A6F" w:rsidRDefault="007E4A6F" w:rsidP="0017164D">
      <w:pPr>
        <w:jc w:val="center"/>
        <w:rPr>
          <w:rFonts w:ascii="Arial" w:hAnsi="Arial" w:cs="Arial"/>
          <w:sz w:val="18"/>
          <w:szCs w:val="18"/>
          <w:lang w:val="es-ES_tradnl"/>
        </w:rPr>
      </w:pPr>
      <w:r w:rsidRPr="007E4A6F">
        <w:rPr>
          <w:rFonts w:ascii="Arial" w:hAnsi="Arial" w:cs="Arial"/>
          <w:sz w:val="18"/>
          <w:szCs w:val="18"/>
          <w:lang w:val="es-ES_tradnl"/>
        </w:rPr>
        <w:t>(Procedimiento Sistema de Gestión de Calidad Clave PR10-SMT-IB, 15-10-20)</w:t>
      </w:r>
    </w:p>
    <w:p w14:paraId="2C10B47D" w14:textId="77777777" w:rsidR="00040A97" w:rsidRPr="00040A97" w:rsidRDefault="00040A97" w:rsidP="007E4A6F">
      <w:pPr>
        <w:jc w:val="both"/>
        <w:rPr>
          <w:rFonts w:ascii="Arial" w:eastAsia="Times New Roman" w:hAnsi="Arial" w:cs="Arial"/>
          <w:lang w:eastAsia="es-MX"/>
        </w:rPr>
      </w:pPr>
    </w:p>
    <w:p w14:paraId="248A61FC" w14:textId="77777777" w:rsidR="0091727D" w:rsidRDefault="0091727D">
      <w:pPr>
        <w:rPr>
          <w:rFonts w:ascii="Arial" w:eastAsia="Times New Roman" w:hAnsi="Arial" w:cs="Arial"/>
          <w:b/>
          <w:bCs/>
          <w:lang w:eastAsia="es-MX"/>
        </w:rPr>
      </w:pPr>
    </w:p>
    <w:tbl>
      <w:tblPr>
        <w:tblW w:w="9208" w:type="dxa"/>
        <w:tblInd w:w="113" w:type="dxa"/>
        <w:tblLayout w:type="fixed"/>
        <w:tblCellMar>
          <w:left w:w="0" w:type="dxa"/>
          <w:right w:w="0" w:type="dxa"/>
        </w:tblCellMar>
        <w:tblLook w:val="0000" w:firstRow="0" w:lastRow="0" w:firstColumn="0" w:lastColumn="0" w:noHBand="0" w:noVBand="0"/>
      </w:tblPr>
      <w:tblGrid>
        <w:gridCol w:w="3293"/>
        <w:gridCol w:w="5915"/>
      </w:tblGrid>
      <w:tr w:rsidR="0091727D" w:rsidRPr="0091727D" w14:paraId="4B7DBD5D" w14:textId="77777777" w:rsidTr="0091727D">
        <w:trPr>
          <w:trHeight w:val="1969"/>
        </w:trPr>
        <w:tc>
          <w:tcPr>
            <w:tcW w:w="3293" w:type="dxa"/>
            <w:tcBorders>
              <w:top w:val="single" w:sz="4" w:space="0" w:color="000000"/>
              <w:left w:val="none" w:sz="6" w:space="0" w:color="auto"/>
              <w:bottom w:val="none" w:sz="6" w:space="0" w:color="auto"/>
              <w:right w:val="single" w:sz="4" w:space="0" w:color="000000"/>
            </w:tcBorders>
          </w:tcPr>
          <w:p w14:paraId="48FA8ED7" w14:textId="4F46ABFD" w:rsidR="0091727D" w:rsidRDefault="0091727D" w:rsidP="0091727D">
            <w:pPr>
              <w:kinsoku w:val="0"/>
              <w:overflowPunct w:val="0"/>
              <w:autoSpaceDE w:val="0"/>
              <w:autoSpaceDN w:val="0"/>
              <w:adjustRightInd w:val="0"/>
              <w:spacing w:line="170" w:lineRule="auto"/>
              <w:ind w:right="90"/>
              <w:rPr>
                <w:rFonts w:ascii="Arial" w:hAnsi="Arial" w:cs="Arial"/>
                <w:b/>
                <w:bCs/>
                <w:spacing w:val="80"/>
                <w:position w:val="-16"/>
                <w:sz w:val="22"/>
                <w:szCs w:val="22"/>
              </w:rPr>
            </w:pPr>
            <w:r w:rsidRPr="0091727D">
              <w:rPr>
                <w:rFonts w:ascii="Arial" w:hAnsi="Arial" w:cs="Arial"/>
                <w:b/>
                <w:bCs/>
                <w:spacing w:val="80"/>
                <w:position w:val="-16"/>
                <w:sz w:val="22"/>
                <w:szCs w:val="22"/>
              </w:rPr>
              <w:t xml:space="preserve">  </w:t>
            </w:r>
          </w:p>
          <w:p w14:paraId="44884C47" w14:textId="16D76CE1" w:rsidR="0017164D" w:rsidRDefault="009E171A" w:rsidP="004D53F6">
            <w:pPr>
              <w:kinsoku w:val="0"/>
              <w:overflowPunct w:val="0"/>
              <w:autoSpaceDE w:val="0"/>
              <w:autoSpaceDN w:val="0"/>
              <w:adjustRightInd w:val="0"/>
              <w:spacing w:line="170" w:lineRule="auto"/>
              <w:ind w:right="90"/>
              <w:jc w:val="center"/>
              <w:rPr>
                <w:rFonts w:ascii="Arial" w:hAnsi="Arial" w:cs="Arial"/>
                <w:sz w:val="22"/>
                <w:szCs w:val="22"/>
              </w:rPr>
            </w:pPr>
            <w:r>
              <w:rPr>
                <w:rFonts w:ascii="Arial" w:hAnsi="Arial" w:cs="Arial"/>
                <w:sz w:val="22"/>
                <w:szCs w:val="22"/>
              </w:rPr>
              <w:t>Instructivo del</w:t>
            </w:r>
          </w:p>
          <w:p w14:paraId="0ADBE05F" w14:textId="696BFA9D" w:rsidR="0091727D" w:rsidRPr="0091727D" w:rsidRDefault="009E171A" w:rsidP="004D53F6">
            <w:pPr>
              <w:kinsoku w:val="0"/>
              <w:overflowPunct w:val="0"/>
              <w:autoSpaceDE w:val="0"/>
              <w:autoSpaceDN w:val="0"/>
              <w:adjustRightInd w:val="0"/>
              <w:spacing w:line="170" w:lineRule="auto"/>
              <w:ind w:left="664" w:right="90" w:hanging="493"/>
              <w:jc w:val="center"/>
              <w:rPr>
                <w:rFonts w:ascii="Arial" w:hAnsi="Arial" w:cs="Arial"/>
                <w:sz w:val="22"/>
                <w:szCs w:val="22"/>
              </w:rPr>
            </w:pPr>
            <w:r>
              <w:rPr>
                <w:rFonts w:ascii="Arial" w:hAnsi="Arial" w:cs="Arial"/>
                <w:sz w:val="22"/>
                <w:szCs w:val="22"/>
              </w:rPr>
              <w:t>Cambio de Licenciatura</w:t>
            </w:r>
          </w:p>
        </w:tc>
        <w:tc>
          <w:tcPr>
            <w:tcW w:w="5915" w:type="dxa"/>
            <w:tcBorders>
              <w:top w:val="single" w:sz="4" w:space="0" w:color="000000"/>
              <w:left w:val="single" w:sz="4" w:space="0" w:color="000000"/>
              <w:bottom w:val="single" w:sz="4" w:space="0" w:color="000000"/>
              <w:right w:val="single" w:sz="4" w:space="0" w:color="000000"/>
            </w:tcBorders>
          </w:tcPr>
          <w:p w14:paraId="303B5DB3" w14:textId="062DC4DD" w:rsidR="0091727D" w:rsidRDefault="0091727D" w:rsidP="0091727D">
            <w:pPr>
              <w:numPr>
                <w:ilvl w:val="0"/>
                <w:numId w:val="1"/>
              </w:numPr>
              <w:tabs>
                <w:tab w:val="left" w:pos="472"/>
              </w:tabs>
              <w:kinsoku w:val="0"/>
              <w:overflowPunct w:val="0"/>
              <w:autoSpaceDE w:val="0"/>
              <w:autoSpaceDN w:val="0"/>
              <w:adjustRightInd w:val="0"/>
              <w:spacing w:line="223" w:lineRule="auto"/>
              <w:ind w:right="95"/>
              <w:jc w:val="both"/>
              <w:rPr>
                <w:rFonts w:ascii="Arial" w:hAnsi="Arial" w:cs="Arial"/>
                <w:sz w:val="14"/>
                <w:szCs w:val="14"/>
              </w:rPr>
            </w:pPr>
            <w:r w:rsidRPr="0091727D">
              <w:rPr>
                <w:rFonts w:ascii="Arial" w:hAnsi="Arial" w:cs="Arial"/>
                <w:sz w:val="18"/>
                <w:szCs w:val="18"/>
              </w:rPr>
              <w:t>Los alumnos de licenciatura tendrán derecho a dos cambios de Licenciatura y dos cambios de Unidad, Artículo 56 del RES</w:t>
            </w:r>
            <w:r w:rsidRPr="0091727D">
              <w:rPr>
                <w:rFonts w:ascii="Arial" w:hAnsi="Arial" w:cs="Arial"/>
                <w:sz w:val="14"/>
                <w:szCs w:val="14"/>
              </w:rPr>
              <w:t>.</w:t>
            </w:r>
          </w:p>
          <w:p w14:paraId="26BD03EB" w14:textId="3C4C2716" w:rsidR="0091727D" w:rsidRDefault="0091727D" w:rsidP="0091727D">
            <w:pPr>
              <w:numPr>
                <w:ilvl w:val="0"/>
                <w:numId w:val="1"/>
              </w:numPr>
              <w:tabs>
                <w:tab w:val="left" w:pos="472"/>
              </w:tabs>
              <w:kinsoku w:val="0"/>
              <w:overflowPunct w:val="0"/>
              <w:autoSpaceDE w:val="0"/>
              <w:autoSpaceDN w:val="0"/>
              <w:adjustRightInd w:val="0"/>
              <w:spacing w:before="23" w:line="230" w:lineRule="auto"/>
              <w:ind w:right="93"/>
              <w:jc w:val="both"/>
              <w:rPr>
                <w:rFonts w:ascii="Arial" w:hAnsi="Arial" w:cs="Arial"/>
                <w:sz w:val="18"/>
                <w:szCs w:val="18"/>
              </w:rPr>
            </w:pPr>
            <w:r w:rsidRPr="0091727D">
              <w:rPr>
                <w:rFonts w:ascii="Arial" w:hAnsi="Arial" w:cs="Arial"/>
                <w:sz w:val="18"/>
                <w:szCs w:val="18"/>
              </w:rPr>
              <w:t>De solicitarse el cambio dentro de la misma Unidad y División, el alumno deberá haber acreditado previamente la totalidad de las unidades de enseñanza-aprendizaje del tronco general. Artículo 56 del RES.</w:t>
            </w:r>
          </w:p>
          <w:p w14:paraId="708676EA" w14:textId="3E28E628" w:rsidR="0091727D" w:rsidRPr="0017164D" w:rsidRDefault="0091727D" w:rsidP="0091727D">
            <w:pPr>
              <w:numPr>
                <w:ilvl w:val="0"/>
                <w:numId w:val="1"/>
              </w:numPr>
              <w:tabs>
                <w:tab w:val="left" w:pos="472"/>
              </w:tabs>
              <w:kinsoku w:val="0"/>
              <w:overflowPunct w:val="0"/>
              <w:autoSpaceDE w:val="0"/>
              <w:autoSpaceDN w:val="0"/>
              <w:adjustRightInd w:val="0"/>
              <w:spacing w:before="23" w:line="230" w:lineRule="auto"/>
              <w:ind w:right="93"/>
              <w:jc w:val="both"/>
              <w:rPr>
                <w:rFonts w:ascii="Arial" w:hAnsi="Arial" w:cs="Arial"/>
                <w:sz w:val="18"/>
                <w:szCs w:val="18"/>
              </w:rPr>
            </w:pPr>
            <w:r w:rsidRPr="0091727D">
              <w:rPr>
                <w:rFonts w:ascii="Arial" w:hAnsi="Arial" w:cs="Arial"/>
                <w:sz w:val="18"/>
                <w:szCs w:val="18"/>
              </w:rPr>
              <w:t>En licenciatura, los cambios de carrera dentro de la misma Unidad y División, se concederán cuando el cupo de la licenciatura solicitada lo permita. Para carreras de diferente División en la misma Unidad, el interesado deberá ser aceptado, además, mediante examen de cambio de División. Artículo 57 del RES</w:t>
            </w:r>
            <w:r w:rsidRPr="0091727D">
              <w:rPr>
                <w:rFonts w:ascii="Arial" w:hAnsi="Arial" w:cs="Arial"/>
                <w:sz w:val="14"/>
                <w:szCs w:val="14"/>
              </w:rPr>
              <w:t>.</w:t>
            </w:r>
          </w:p>
          <w:p w14:paraId="3D1F4EFD" w14:textId="0C5291C4" w:rsidR="0091727D" w:rsidRPr="0091727D" w:rsidRDefault="0091727D" w:rsidP="0017164D">
            <w:pPr>
              <w:numPr>
                <w:ilvl w:val="0"/>
                <w:numId w:val="1"/>
              </w:numPr>
              <w:tabs>
                <w:tab w:val="left" w:pos="472"/>
              </w:tabs>
              <w:kinsoku w:val="0"/>
              <w:overflowPunct w:val="0"/>
              <w:autoSpaceDE w:val="0"/>
              <w:autoSpaceDN w:val="0"/>
              <w:adjustRightInd w:val="0"/>
              <w:spacing w:before="23" w:line="230" w:lineRule="auto"/>
              <w:ind w:right="93"/>
              <w:jc w:val="both"/>
              <w:rPr>
                <w:rFonts w:ascii="Arial" w:hAnsi="Arial" w:cs="Arial"/>
                <w:sz w:val="18"/>
                <w:szCs w:val="18"/>
              </w:rPr>
            </w:pPr>
            <w:r w:rsidRPr="0017164D">
              <w:rPr>
                <w:rFonts w:ascii="Arial" w:hAnsi="Arial" w:cs="Arial"/>
                <w:sz w:val="18"/>
                <w:szCs w:val="18"/>
              </w:rPr>
              <w:t>Los cambios de Unidad para el mismo tipo de División se concederán, cuando el cupo de la carrera solicitada lo permita, una vez concluido el tronco general de unidades de enseñanza-aprendizaje.</w:t>
            </w:r>
            <w:r w:rsidR="00F91890">
              <w:rPr>
                <w:rFonts w:ascii="Arial" w:hAnsi="Arial" w:cs="Arial"/>
                <w:sz w:val="18"/>
                <w:szCs w:val="18"/>
              </w:rPr>
              <w:t xml:space="preserve"> Artículo 58 del RES.</w:t>
            </w:r>
          </w:p>
          <w:p w14:paraId="306CE1D2" w14:textId="77777777" w:rsidR="0091727D" w:rsidRDefault="0091727D" w:rsidP="0091727D">
            <w:pPr>
              <w:numPr>
                <w:ilvl w:val="0"/>
                <w:numId w:val="1"/>
              </w:numPr>
              <w:tabs>
                <w:tab w:val="left" w:pos="472"/>
              </w:tabs>
              <w:kinsoku w:val="0"/>
              <w:overflowPunct w:val="0"/>
              <w:autoSpaceDE w:val="0"/>
              <w:autoSpaceDN w:val="0"/>
              <w:adjustRightInd w:val="0"/>
              <w:spacing w:line="225" w:lineRule="auto"/>
              <w:ind w:right="103"/>
              <w:jc w:val="both"/>
              <w:rPr>
                <w:rFonts w:ascii="Arial" w:hAnsi="Arial" w:cs="Arial"/>
                <w:sz w:val="18"/>
                <w:szCs w:val="18"/>
              </w:rPr>
            </w:pPr>
            <w:r w:rsidRPr="0091727D">
              <w:rPr>
                <w:rFonts w:ascii="Arial" w:hAnsi="Arial" w:cs="Arial"/>
                <w:sz w:val="18"/>
                <w:szCs w:val="18"/>
              </w:rPr>
              <w:t>El trámite de cambio de licenciatura</w:t>
            </w:r>
            <w:r w:rsidRPr="0091727D">
              <w:rPr>
                <w:rFonts w:ascii="Arial" w:hAnsi="Arial" w:cs="Arial"/>
                <w:spacing w:val="-2"/>
                <w:sz w:val="18"/>
                <w:szCs w:val="18"/>
              </w:rPr>
              <w:t xml:space="preserve"> </w:t>
            </w:r>
            <w:r w:rsidRPr="0091727D">
              <w:rPr>
                <w:rFonts w:ascii="Arial" w:hAnsi="Arial" w:cs="Arial"/>
                <w:sz w:val="18"/>
                <w:szCs w:val="18"/>
              </w:rPr>
              <w:t>se lleva a</w:t>
            </w:r>
            <w:r w:rsidRPr="0091727D">
              <w:rPr>
                <w:rFonts w:ascii="Arial" w:hAnsi="Arial" w:cs="Arial"/>
                <w:spacing w:val="-2"/>
                <w:sz w:val="18"/>
                <w:szCs w:val="18"/>
              </w:rPr>
              <w:t xml:space="preserve"> </w:t>
            </w:r>
            <w:r w:rsidRPr="0091727D">
              <w:rPr>
                <w:rFonts w:ascii="Arial" w:hAnsi="Arial" w:cs="Arial"/>
                <w:sz w:val="18"/>
                <w:szCs w:val="18"/>
              </w:rPr>
              <w:t>cabo</w:t>
            </w:r>
            <w:r w:rsidRPr="0091727D">
              <w:rPr>
                <w:rFonts w:ascii="Arial" w:hAnsi="Arial" w:cs="Arial"/>
                <w:spacing w:val="-2"/>
                <w:sz w:val="18"/>
                <w:szCs w:val="18"/>
              </w:rPr>
              <w:t xml:space="preserve"> </w:t>
            </w:r>
            <w:r w:rsidRPr="0091727D">
              <w:rPr>
                <w:rFonts w:ascii="Arial" w:hAnsi="Arial" w:cs="Arial"/>
                <w:sz w:val="18"/>
                <w:szCs w:val="18"/>
              </w:rPr>
              <w:t>de la semana</w:t>
            </w:r>
            <w:r w:rsidRPr="0091727D">
              <w:rPr>
                <w:rFonts w:ascii="Arial" w:hAnsi="Arial" w:cs="Arial"/>
                <w:spacing w:val="-2"/>
                <w:sz w:val="18"/>
                <w:szCs w:val="18"/>
              </w:rPr>
              <w:t xml:space="preserve"> </w:t>
            </w:r>
            <w:r>
              <w:rPr>
                <w:rFonts w:ascii="Arial" w:hAnsi="Arial" w:cs="Arial"/>
                <w:sz w:val="18"/>
                <w:szCs w:val="18"/>
              </w:rPr>
              <w:t>1</w:t>
            </w:r>
            <w:r w:rsidRPr="0091727D">
              <w:rPr>
                <w:rFonts w:ascii="Arial" w:hAnsi="Arial" w:cs="Arial"/>
                <w:sz w:val="18"/>
                <w:szCs w:val="18"/>
              </w:rPr>
              <w:t xml:space="preserve"> hasta</w:t>
            </w:r>
            <w:r w:rsidRPr="0091727D">
              <w:rPr>
                <w:rFonts w:ascii="Arial" w:hAnsi="Arial" w:cs="Arial"/>
                <w:spacing w:val="-2"/>
                <w:sz w:val="18"/>
                <w:szCs w:val="18"/>
              </w:rPr>
              <w:t xml:space="preserve"> </w:t>
            </w:r>
            <w:r w:rsidRPr="0091727D">
              <w:rPr>
                <w:rFonts w:ascii="Arial" w:hAnsi="Arial" w:cs="Arial"/>
                <w:sz w:val="18"/>
                <w:szCs w:val="18"/>
              </w:rPr>
              <w:t>la</w:t>
            </w:r>
            <w:r w:rsidRPr="0091727D">
              <w:rPr>
                <w:rFonts w:ascii="Arial" w:hAnsi="Arial" w:cs="Arial"/>
                <w:spacing w:val="-2"/>
                <w:sz w:val="18"/>
                <w:szCs w:val="18"/>
              </w:rPr>
              <w:t xml:space="preserve"> </w:t>
            </w:r>
            <w:r w:rsidRPr="0091727D">
              <w:rPr>
                <w:rFonts w:ascii="Arial" w:hAnsi="Arial" w:cs="Arial"/>
                <w:sz w:val="18"/>
                <w:szCs w:val="18"/>
              </w:rPr>
              <w:t>semana</w:t>
            </w:r>
            <w:r w:rsidRPr="0091727D">
              <w:rPr>
                <w:rFonts w:ascii="Arial" w:hAnsi="Arial" w:cs="Arial"/>
                <w:spacing w:val="-2"/>
                <w:sz w:val="18"/>
                <w:szCs w:val="18"/>
              </w:rPr>
              <w:t xml:space="preserve"> </w:t>
            </w:r>
            <w:r>
              <w:rPr>
                <w:rFonts w:ascii="Arial" w:hAnsi="Arial" w:cs="Arial"/>
                <w:sz w:val="18"/>
                <w:szCs w:val="18"/>
              </w:rPr>
              <w:t>7</w:t>
            </w:r>
            <w:r w:rsidRPr="0091727D">
              <w:rPr>
                <w:rFonts w:ascii="Arial" w:hAnsi="Arial" w:cs="Arial"/>
                <w:sz w:val="18"/>
                <w:szCs w:val="18"/>
              </w:rPr>
              <w:t xml:space="preserve"> de</w:t>
            </w:r>
            <w:r w:rsidRPr="0091727D">
              <w:rPr>
                <w:rFonts w:ascii="Arial" w:hAnsi="Arial" w:cs="Arial"/>
                <w:spacing w:val="-2"/>
                <w:sz w:val="18"/>
                <w:szCs w:val="18"/>
              </w:rPr>
              <w:t xml:space="preserve"> </w:t>
            </w:r>
            <w:r w:rsidRPr="0091727D">
              <w:rPr>
                <w:rFonts w:ascii="Arial" w:hAnsi="Arial" w:cs="Arial"/>
                <w:sz w:val="18"/>
                <w:szCs w:val="18"/>
              </w:rPr>
              <w:t xml:space="preserve">cada trimestre lectivo. </w:t>
            </w:r>
          </w:p>
          <w:p w14:paraId="6DC20E62" w14:textId="4781DEB7" w:rsidR="0017164D" w:rsidRDefault="0017164D" w:rsidP="0091727D">
            <w:pPr>
              <w:numPr>
                <w:ilvl w:val="0"/>
                <w:numId w:val="1"/>
              </w:numPr>
              <w:tabs>
                <w:tab w:val="left" w:pos="472"/>
              </w:tabs>
              <w:kinsoku w:val="0"/>
              <w:overflowPunct w:val="0"/>
              <w:autoSpaceDE w:val="0"/>
              <w:autoSpaceDN w:val="0"/>
              <w:adjustRightInd w:val="0"/>
              <w:spacing w:line="225" w:lineRule="auto"/>
              <w:ind w:right="103"/>
              <w:jc w:val="both"/>
              <w:rPr>
                <w:rFonts w:ascii="Arial" w:hAnsi="Arial" w:cs="Arial"/>
                <w:sz w:val="18"/>
                <w:szCs w:val="18"/>
              </w:rPr>
            </w:pPr>
            <w:r>
              <w:rPr>
                <w:rFonts w:ascii="Arial" w:hAnsi="Arial" w:cs="Arial"/>
                <w:sz w:val="18"/>
                <w:szCs w:val="18"/>
              </w:rPr>
              <w:t>La documentación que el alumno deberá entregar será; carta de exposición demotivos (llenada y firmada por el alumno</w:t>
            </w:r>
            <w:r w:rsidR="00F03573">
              <w:rPr>
                <w:rFonts w:ascii="Arial" w:hAnsi="Arial" w:cs="Arial"/>
                <w:sz w:val="18"/>
                <w:szCs w:val="18"/>
              </w:rPr>
              <w:t xml:space="preserve"> se adjunta abajo</w:t>
            </w:r>
            <w:r>
              <w:rPr>
                <w:rFonts w:ascii="Arial" w:hAnsi="Arial" w:cs="Arial"/>
                <w:sz w:val="18"/>
                <w:szCs w:val="18"/>
              </w:rPr>
              <w:t>). Historial académico expedida por la Coordinación de Sistemas Escoalres</w:t>
            </w:r>
          </w:p>
          <w:p w14:paraId="327A9318" w14:textId="5561A5A7" w:rsidR="0017164D" w:rsidRPr="0085155C" w:rsidRDefault="0017164D" w:rsidP="0091727D">
            <w:pPr>
              <w:numPr>
                <w:ilvl w:val="0"/>
                <w:numId w:val="1"/>
              </w:numPr>
              <w:tabs>
                <w:tab w:val="left" w:pos="472"/>
              </w:tabs>
              <w:kinsoku w:val="0"/>
              <w:overflowPunct w:val="0"/>
              <w:autoSpaceDE w:val="0"/>
              <w:autoSpaceDN w:val="0"/>
              <w:adjustRightInd w:val="0"/>
              <w:spacing w:line="225" w:lineRule="auto"/>
              <w:ind w:right="103"/>
              <w:jc w:val="both"/>
              <w:rPr>
                <w:rFonts w:ascii="Arial" w:hAnsi="Arial" w:cs="Arial"/>
                <w:sz w:val="22"/>
                <w:szCs w:val="22"/>
              </w:rPr>
            </w:pPr>
            <w:r>
              <w:rPr>
                <w:rFonts w:ascii="Arial" w:hAnsi="Arial" w:cs="Arial"/>
                <w:sz w:val="18"/>
                <w:szCs w:val="18"/>
              </w:rPr>
              <w:t xml:space="preserve">Enviar los dos documentos </w:t>
            </w:r>
            <w:r w:rsidR="00BD50CB">
              <w:rPr>
                <w:rFonts w:ascii="Arial" w:hAnsi="Arial" w:cs="Arial"/>
                <w:sz w:val="18"/>
                <w:szCs w:val="18"/>
              </w:rPr>
              <w:t xml:space="preserve">en formato pdf en un solo archivo con su nombre completo que no pese más de 2mb, </w:t>
            </w:r>
            <w:r>
              <w:rPr>
                <w:rFonts w:ascii="Arial" w:hAnsi="Arial" w:cs="Arial"/>
                <w:sz w:val="18"/>
                <w:szCs w:val="18"/>
              </w:rPr>
              <w:t xml:space="preserve">en la semana 1 a la 7 al siguientes </w:t>
            </w:r>
            <w:r w:rsidRPr="0085155C">
              <w:rPr>
                <w:rFonts w:ascii="Arial" w:hAnsi="Arial" w:cs="Arial"/>
                <w:sz w:val="20"/>
                <w:szCs w:val="20"/>
              </w:rPr>
              <w:t>correos</w:t>
            </w:r>
            <w:r w:rsidRPr="0085155C">
              <w:rPr>
                <w:rFonts w:ascii="Arial" w:hAnsi="Arial" w:cs="Arial"/>
                <w:sz w:val="22"/>
                <w:szCs w:val="22"/>
              </w:rPr>
              <w:t xml:space="preserve"> </w:t>
            </w:r>
            <w:r w:rsidR="0085155C" w:rsidRPr="0085155C">
              <w:rPr>
                <w:sz w:val="22"/>
                <w:szCs w:val="22"/>
              </w:rPr>
              <w:t>jph@xanum.uam.mx</w:t>
            </w:r>
          </w:p>
          <w:p w14:paraId="1F1D4635" w14:textId="06EDA75C" w:rsidR="0017164D" w:rsidRDefault="0017164D" w:rsidP="0091727D">
            <w:pPr>
              <w:numPr>
                <w:ilvl w:val="0"/>
                <w:numId w:val="1"/>
              </w:numPr>
              <w:tabs>
                <w:tab w:val="left" w:pos="472"/>
              </w:tabs>
              <w:kinsoku w:val="0"/>
              <w:overflowPunct w:val="0"/>
              <w:autoSpaceDE w:val="0"/>
              <w:autoSpaceDN w:val="0"/>
              <w:adjustRightInd w:val="0"/>
              <w:spacing w:line="225" w:lineRule="auto"/>
              <w:ind w:right="103"/>
              <w:jc w:val="both"/>
              <w:rPr>
                <w:rFonts w:ascii="Arial" w:hAnsi="Arial" w:cs="Arial"/>
                <w:sz w:val="18"/>
                <w:szCs w:val="18"/>
              </w:rPr>
            </w:pPr>
            <w:r>
              <w:rPr>
                <w:rFonts w:ascii="Arial" w:hAnsi="Arial" w:cs="Arial"/>
                <w:sz w:val="18"/>
                <w:szCs w:val="18"/>
              </w:rPr>
              <w:t xml:space="preserve">Se proporcionará la resolución </w:t>
            </w:r>
            <w:r w:rsidR="0038645C">
              <w:rPr>
                <w:rFonts w:ascii="Arial" w:hAnsi="Arial" w:cs="Arial"/>
                <w:sz w:val="18"/>
                <w:szCs w:val="18"/>
              </w:rPr>
              <w:t xml:space="preserve">por vía correo electrónico </w:t>
            </w:r>
            <w:r>
              <w:rPr>
                <w:rFonts w:ascii="Arial" w:hAnsi="Arial" w:cs="Arial"/>
                <w:sz w:val="18"/>
                <w:szCs w:val="18"/>
              </w:rPr>
              <w:t>en la semana 9 de acuerdo al visto bueno del Coordinador.</w:t>
            </w:r>
          </w:p>
          <w:p w14:paraId="30C58A1A" w14:textId="63024A30" w:rsidR="00BD50CB" w:rsidRDefault="00BD50CB" w:rsidP="0091727D">
            <w:pPr>
              <w:numPr>
                <w:ilvl w:val="0"/>
                <w:numId w:val="1"/>
              </w:numPr>
              <w:tabs>
                <w:tab w:val="left" w:pos="472"/>
              </w:tabs>
              <w:kinsoku w:val="0"/>
              <w:overflowPunct w:val="0"/>
              <w:autoSpaceDE w:val="0"/>
              <w:autoSpaceDN w:val="0"/>
              <w:adjustRightInd w:val="0"/>
              <w:spacing w:line="225" w:lineRule="auto"/>
              <w:ind w:right="103"/>
              <w:jc w:val="both"/>
              <w:rPr>
                <w:rFonts w:ascii="Arial" w:hAnsi="Arial" w:cs="Arial"/>
                <w:sz w:val="18"/>
                <w:szCs w:val="18"/>
              </w:rPr>
            </w:pPr>
            <w:r>
              <w:rPr>
                <w:rFonts w:ascii="Arial" w:hAnsi="Arial" w:cs="Arial"/>
                <w:sz w:val="18"/>
                <w:szCs w:val="18"/>
              </w:rPr>
              <w:t xml:space="preserve">Si el cambio de División en la misma Unidad ó Cambio de Unidad en la misma División fue aprobado, contactar </w:t>
            </w:r>
            <w:r w:rsidR="00057FE2">
              <w:rPr>
                <w:rFonts w:ascii="Arial" w:hAnsi="Arial" w:cs="Arial"/>
                <w:sz w:val="18"/>
                <w:szCs w:val="18"/>
              </w:rPr>
              <w:t>en la semana 11, al siguiente</w:t>
            </w:r>
            <w:r>
              <w:rPr>
                <w:rFonts w:ascii="Arial" w:hAnsi="Arial" w:cs="Arial"/>
                <w:sz w:val="18"/>
                <w:szCs w:val="18"/>
              </w:rPr>
              <w:t xml:space="preserve"> correo </w:t>
            </w:r>
            <w:hyperlink r:id="rId5" w:history="1">
              <w:r w:rsidRPr="00CA10A8">
                <w:rPr>
                  <w:rStyle w:val="Hyperlink"/>
                  <w:rFonts w:ascii="Arial" w:hAnsi="Arial" w:cs="Arial"/>
                  <w:sz w:val="18"/>
                  <w:szCs w:val="18"/>
                </w:rPr>
                <w:t>cses@xanum.uam.mx</w:t>
              </w:r>
            </w:hyperlink>
            <w:r>
              <w:rPr>
                <w:rFonts w:ascii="Arial" w:hAnsi="Arial" w:cs="Arial"/>
                <w:sz w:val="18"/>
                <w:szCs w:val="18"/>
              </w:rPr>
              <w:t xml:space="preserve"> para la entrega de documentos e inscripción en Sistemas Escolare</w:t>
            </w:r>
            <w:r w:rsidR="000404D9">
              <w:rPr>
                <w:rFonts w:ascii="Arial" w:hAnsi="Arial" w:cs="Arial"/>
                <w:sz w:val="18"/>
                <w:szCs w:val="18"/>
              </w:rPr>
              <w:t>s</w:t>
            </w:r>
            <w:r w:rsidR="00057FE2">
              <w:rPr>
                <w:rFonts w:ascii="Arial" w:hAnsi="Arial" w:cs="Arial"/>
                <w:sz w:val="18"/>
                <w:szCs w:val="18"/>
              </w:rPr>
              <w:t>.</w:t>
            </w:r>
          </w:p>
          <w:p w14:paraId="76E02244" w14:textId="687E006C" w:rsidR="0074682F" w:rsidRPr="0074682F" w:rsidRDefault="009928AB" w:rsidP="0074682F">
            <w:pPr>
              <w:numPr>
                <w:ilvl w:val="0"/>
                <w:numId w:val="1"/>
              </w:numPr>
              <w:tabs>
                <w:tab w:val="left" w:pos="472"/>
              </w:tabs>
              <w:kinsoku w:val="0"/>
              <w:overflowPunct w:val="0"/>
              <w:autoSpaceDE w:val="0"/>
              <w:autoSpaceDN w:val="0"/>
              <w:adjustRightInd w:val="0"/>
              <w:spacing w:line="225" w:lineRule="auto"/>
              <w:ind w:right="103"/>
              <w:jc w:val="both"/>
              <w:rPr>
                <w:rFonts w:ascii="Arial" w:hAnsi="Arial" w:cs="Arial"/>
                <w:sz w:val="18"/>
                <w:szCs w:val="18"/>
              </w:rPr>
            </w:pPr>
            <w:r w:rsidRPr="0074682F">
              <w:rPr>
                <w:rFonts w:ascii="Arial" w:hAnsi="Arial" w:cs="Arial"/>
                <w:sz w:val="18"/>
                <w:szCs w:val="18"/>
              </w:rPr>
              <w:t xml:space="preserve">En caso de ser necesario el alumno deberá tramitar la acreditación de las UEA cursadas después de la autorización de cambio </w:t>
            </w:r>
            <w:hyperlink r:id="rId6" w:history="1">
              <w:r w:rsidR="0074682F" w:rsidRPr="0074682F">
                <w:rPr>
                  <w:rStyle w:val="Hyperlink"/>
                  <w:rFonts w:cstheme="minorHAnsi"/>
                  <w:lang w:val="es-ES_tradnl"/>
                </w:rPr>
                <w:t>https://dse.uam.mx/index.php/tramites-y-servicios/acreditacion-de-estudios</w:t>
              </w:r>
            </w:hyperlink>
          </w:p>
          <w:p w14:paraId="27282E1C" w14:textId="75E4E07E" w:rsidR="0017164D" w:rsidRPr="0091727D" w:rsidRDefault="0017164D" w:rsidP="0017164D">
            <w:pPr>
              <w:tabs>
                <w:tab w:val="left" w:pos="472"/>
              </w:tabs>
              <w:kinsoku w:val="0"/>
              <w:overflowPunct w:val="0"/>
              <w:autoSpaceDE w:val="0"/>
              <w:autoSpaceDN w:val="0"/>
              <w:adjustRightInd w:val="0"/>
              <w:spacing w:line="225" w:lineRule="auto"/>
              <w:ind w:right="103"/>
              <w:jc w:val="both"/>
              <w:rPr>
                <w:rFonts w:ascii="Arial" w:hAnsi="Arial" w:cs="Arial"/>
                <w:sz w:val="18"/>
                <w:szCs w:val="18"/>
              </w:rPr>
            </w:pPr>
          </w:p>
        </w:tc>
      </w:tr>
    </w:tbl>
    <w:p w14:paraId="352D4662" w14:textId="77777777" w:rsidR="0091727D" w:rsidRDefault="0091727D">
      <w:pPr>
        <w:rPr>
          <w:rFonts w:ascii="Arial" w:eastAsia="Times New Roman" w:hAnsi="Arial" w:cs="Arial"/>
          <w:b/>
          <w:bCs/>
          <w:lang w:eastAsia="es-MX"/>
        </w:rPr>
      </w:pPr>
    </w:p>
    <w:p w14:paraId="72947160" w14:textId="77777777" w:rsidR="0091727D" w:rsidRDefault="0091727D">
      <w:pPr>
        <w:rPr>
          <w:rFonts w:ascii="Arial" w:eastAsia="Times New Roman" w:hAnsi="Arial" w:cs="Arial"/>
          <w:b/>
          <w:bCs/>
          <w:lang w:eastAsia="es-MX"/>
        </w:rPr>
      </w:pPr>
    </w:p>
    <w:p w14:paraId="5E33691A" w14:textId="77777777" w:rsidR="0091727D" w:rsidRDefault="0091727D">
      <w:pPr>
        <w:rPr>
          <w:rFonts w:ascii="Arial" w:eastAsia="Times New Roman" w:hAnsi="Arial" w:cs="Arial"/>
          <w:b/>
          <w:bCs/>
          <w:lang w:eastAsia="es-MX"/>
        </w:rPr>
      </w:pPr>
    </w:p>
    <w:p w14:paraId="46204250" w14:textId="24F7E87C" w:rsidR="0091727D" w:rsidRDefault="0091727D">
      <w:pPr>
        <w:rPr>
          <w:rFonts w:ascii="Arial" w:hAnsi="Arial" w:cs="Arial"/>
        </w:rPr>
      </w:pPr>
      <w:r>
        <w:rPr>
          <w:rFonts w:ascii="Arial" w:hAnsi="Arial" w:cs="Arial"/>
        </w:rPr>
        <w:t xml:space="preserve"> </w:t>
      </w:r>
    </w:p>
    <w:p w14:paraId="559E9B63" w14:textId="40BC0399" w:rsidR="00F03573" w:rsidRDefault="00F03573">
      <w:pPr>
        <w:rPr>
          <w:rFonts w:ascii="Arial" w:hAnsi="Arial" w:cs="Arial"/>
        </w:rPr>
      </w:pPr>
    </w:p>
    <w:p w14:paraId="07E2EE3C" w14:textId="27DA2B9F" w:rsidR="00F03573" w:rsidRDefault="00F03573">
      <w:pPr>
        <w:rPr>
          <w:rFonts w:ascii="Arial" w:hAnsi="Arial" w:cs="Arial"/>
        </w:rPr>
      </w:pPr>
    </w:p>
    <w:p w14:paraId="77C83299" w14:textId="564A0E7E" w:rsidR="00F03573" w:rsidRDefault="00F03573">
      <w:pPr>
        <w:rPr>
          <w:rFonts w:ascii="Arial" w:hAnsi="Arial" w:cs="Arial"/>
        </w:rPr>
      </w:pPr>
    </w:p>
    <w:p w14:paraId="721ADBCD" w14:textId="0B6F341F" w:rsidR="00F03573" w:rsidRDefault="00F03573">
      <w:pPr>
        <w:rPr>
          <w:rFonts w:ascii="Arial" w:hAnsi="Arial" w:cs="Arial"/>
        </w:rPr>
      </w:pPr>
    </w:p>
    <w:p w14:paraId="442F4B6C" w14:textId="656D56FB" w:rsidR="00F03573" w:rsidRDefault="00F03573">
      <w:pPr>
        <w:rPr>
          <w:rFonts w:ascii="Arial" w:hAnsi="Arial" w:cs="Arial"/>
        </w:rPr>
      </w:pPr>
    </w:p>
    <w:p w14:paraId="2EAED8D7" w14:textId="04C17B0A" w:rsidR="00F03573" w:rsidRDefault="00F03573">
      <w:pPr>
        <w:rPr>
          <w:rFonts w:ascii="Arial" w:hAnsi="Arial" w:cs="Arial"/>
        </w:rPr>
      </w:pPr>
    </w:p>
    <w:p w14:paraId="0D99D453" w14:textId="617335A3" w:rsidR="00F03573" w:rsidRDefault="00F03573">
      <w:pPr>
        <w:rPr>
          <w:rFonts w:ascii="Arial" w:hAnsi="Arial" w:cs="Arial"/>
        </w:rPr>
      </w:pPr>
    </w:p>
    <w:p w14:paraId="1BDDA4FB" w14:textId="210EE0D7" w:rsidR="00F03573" w:rsidRDefault="00F03573">
      <w:pPr>
        <w:rPr>
          <w:rFonts w:ascii="Arial" w:hAnsi="Arial" w:cs="Arial"/>
        </w:rPr>
      </w:pPr>
    </w:p>
    <w:p w14:paraId="52D45FA9" w14:textId="3866C224" w:rsidR="00F03573" w:rsidRDefault="00F03573">
      <w:pPr>
        <w:rPr>
          <w:rFonts w:ascii="Arial" w:hAnsi="Arial" w:cs="Arial"/>
        </w:rPr>
      </w:pPr>
    </w:p>
    <w:p w14:paraId="5932C08F" w14:textId="0B1213DB" w:rsidR="00F03573" w:rsidRDefault="00F03573">
      <w:pPr>
        <w:rPr>
          <w:rFonts w:ascii="Arial" w:hAnsi="Arial" w:cs="Arial"/>
        </w:rPr>
      </w:pPr>
    </w:p>
    <w:p w14:paraId="4F906D3C" w14:textId="72BB64DF" w:rsidR="00F03573" w:rsidRDefault="00F03573">
      <w:pPr>
        <w:rPr>
          <w:rFonts w:ascii="Arial" w:hAnsi="Arial" w:cs="Arial"/>
        </w:rPr>
      </w:pPr>
    </w:p>
    <w:p w14:paraId="64966318" w14:textId="77777777" w:rsidR="00F03573" w:rsidRDefault="00F03573" w:rsidP="00F03573"/>
    <w:p w14:paraId="786476D1" w14:textId="77777777" w:rsidR="00F03573" w:rsidRPr="00F21199" w:rsidRDefault="00F03573" w:rsidP="00F03573">
      <w:pPr>
        <w:jc w:val="both"/>
        <w:rPr>
          <w:sz w:val="32"/>
          <w:szCs w:val="32"/>
        </w:rPr>
      </w:pPr>
    </w:p>
    <w:p w14:paraId="412F2DBB" w14:textId="77777777" w:rsidR="00F03573" w:rsidRPr="00F21199" w:rsidRDefault="00F03573" w:rsidP="00F03573">
      <w:pPr>
        <w:jc w:val="both"/>
        <w:rPr>
          <w:sz w:val="32"/>
          <w:szCs w:val="32"/>
        </w:rPr>
      </w:pPr>
      <w:r>
        <w:rPr>
          <w:sz w:val="32"/>
          <w:szCs w:val="32"/>
        </w:rPr>
        <w:t>Ciudad de México</w:t>
      </w:r>
      <w:r w:rsidRPr="00F21199">
        <w:rPr>
          <w:sz w:val="32"/>
          <w:szCs w:val="32"/>
        </w:rPr>
        <w:t xml:space="preserve">.,  </w:t>
      </w:r>
      <w:r>
        <w:rPr>
          <w:sz w:val="32"/>
          <w:szCs w:val="32"/>
        </w:rPr>
        <w:t>_____________del 202_</w:t>
      </w:r>
      <w:r w:rsidRPr="00F21199">
        <w:rPr>
          <w:sz w:val="32"/>
          <w:szCs w:val="32"/>
        </w:rPr>
        <w:t>.</w:t>
      </w:r>
    </w:p>
    <w:p w14:paraId="49FA37E0" w14:textId="77777777" w:rsidR="00F03573" w:rsidRPr="00F21199" w:rsidRDefault="00F03573" w:rsidP="00F03573">
      <w:pPr>
        <w:jc w:val="both"/>
        <w:rPr>
          <w:sz w:val="32"/>
          <w:szCs w:val="32"/>
        </w:rPr>
      </w:pPr>
    </w:p>
    <w:p w14:paraId="1F3E5728" w14:textId="77777777" w:rsidR="00F03573" w:rsidRDefault="00F03573" w:rsidP="00F03573">
      <w:pPr>
        <w:jc w:val="both"/>
        <w:rPr>
          <w:b/>
          <w:sz w:val="32"/>
          <w:szCs w:val="32"/>
        </w:rPr>
      </w:pPr>
      <w:r>
        <w:rPr>
          <w:b/>
          <w:sz w:val="32"/>
          <w:szCs w:val="32"/>
        </w:rPr>
        <w:t>______________________</w:t>
      </w:r>
    </w:p>
    <w:p w14:paraId="35A257A6" w14:textId="77777777" w:rsidR="00F03573" w:rsidRPr="00F21199" w:rsidRDefault="00F03573" w:rsidP="00F03573">
      <w:pPr>
        <w:jc w:val="both"/>
        <w:rPr>
          <w:b/>
          <w:sz w:val="32"/>
          <w:szCs w:val="32"/>
        </w:rPr>
      </w:pPr>
      <w:r w:rsidRPr="00F21199">
        <w:rPr>
          <w:b/>
          <w:sz w:val="32"/>
          <w:szCs w:val="32"/>
        </w:rPr>
        <w:t xml:space="preserve">Coordinador de la Licenciatura en </w:t>
      </w:r>
    </w:p>
    <w:p w14:paraId="30094509" w14:textId="77777777" w:rsidR="00F03573" w:rsidRPr="00F21199" w:rsidRDefault="00F03573" w:rsidP="00F03573">
      <w:pPr>
        <w:jc w:val="both"/>
        <w:rPr>
          <w:b/>
          <w:sz w:val="32"/>
          <w:szCs w:val="32"/>
        </w:rPr>
      </w:pPr>
      <w:r w:rsidRPr="00F21199">
        <w:rPr>
          <w:b/>
          <w:sz w:val="32"/>
          <w:szCs w:val="32"/>
        </w:rPr>
        <w:t>Presente.</w:t>
      </w:r>
    </w:p>
    <w:p w14:paraId="6EAA39EA" w14:textId="77777777" w:rsidR="00F03573" w:rsidRPr="00F21199" w:rsidRDefault="00F03573" w:rsidP="00F03573">
      <w:pPr>
        <w:jc w:val="both"/>
        <w:rPr>
          <w:sz w:val="32"/>
          <w:szCs w:val="32"/>
        </w:rPr>
      </w:pPr>
    </w:p>
    <w:p w14:paraId="137CC96F" w14:textId="77777777" w:rsidR="00F03573" w:rsidRPr="00F21199" w:rsidRDefault="00F03573" w:rsidP="00F03573">
      <w:pPr>
        <w:jc w:val="both"/>
        <w:rPr>
          <w:sz w:val="32"/>
          <w:szCs w:val="32"/>
        </w:rPr>
      </w:pPr>
    </w:p>
    <w:p w14:paraId="354871E1" w14:textId="77777777" w:rsidR="00F03573" w:rsidRPr="00F21199" w:rsidRDefault="00F03573" w:rsidP="00F03573">
      <w:pPr>
        <w:jc w:val="both"/>
        <w:rPr>
          <w:sz w:val="32"/>
          <w:szCs w:val="32"/>
        </w:rPr>
      </w:pPr>
    </w:p>
    <w:p w14:paraId="37459450" w14:textId="77777777" w:rsidR="00F03573" w:rsidRDefault="00F03573" w:rsidP="00F03573">
      <w:pPr>
        <w:jc w:val="both"/>
        <w:rPr>
          <w:sz w:val="32"/>
          <w:szCs w:val="32"/>
        </w:rPr>
      </w:pPr>
      <w:r w:rsidRPr="00F21199">
        <w:rPr>
          <w:sz w:val="32"/>
          <w:szCs w:val="32"/>
        </w:rPr>
        <w:t>Por este conducto</w:t>
      </w:r>
      <w:r>
        <w:rPr>
          <w:sz w:val="32"/>
          <w:szCs w:val="32"/>
        </w:rPr>
        <w:t xml:space="preserve"> y de acuerdo con el artículo 57 del Reglamento de Estudios Superiores a Nivel Licenciatura de esta Institución, solicito a usted se lleve a cabo el trámite correspondiente para mi cambio de licenciatura de ____________ a la Licenciatura en _____.</w:t>
      </w:r>
    </w:p>
    <w:p w14:paraId="03579729" w14:textId="77777777" w:rsidR="00F03573" w:rsidRDefault="00F03573" w:rsidP="00F03573">
      <w:pPr>
        <w:jc w:val="both"/>
        <w:rPr>
          <w:sz w:val="32"/>
          <w:szCs w:val="32"/>
        </w:rPr>
      </w:pPr>
      <w:r>
        <w:rPr>
          <w:sz w:val="32"/>
          <w:szCs w:val="32"/>
        </w:rPr>
        <w:t>Lo anterior, ____________________________________</w:t>
      </w:r>
    </w:p>
    <w:p w14:paraId="524EA80E" w14:textId="77777777" w:rsidR="00F03573" w:rsidRPr="00F21199" w:rsidRDefault="00F03573" w:rsidP="00F03573">
      <w:pPr>
        <w:jc w:val="both"/>
        <w:rPr>
          <w:sz w:val="32"/>
          <w:szCs w:val="32"/>
        </w:rPr>
      </w:pPr>
    </w:p>
    <w:p w14:paraId="2E9208B7" w14:textId="77777777" w:rsidR="00F03573" w:rsidRPr="00F21199" w:rsidRDefault="00F03573" w:rsidP="00F03573">
      <w:pPr>
        <w:jc w:val="both"/>
        <w:rPr>
          <w:sz w:val="32"/>
          <w:szCs w:val="32"/>
        </w:rPr>
      </w:pPr>
      <w:r w:rsidRPr="00F21199">
        <w:rPr>
          <w:sz w:val="32"/>
          <w:szCs w:val="32"/>
        </w:rPr>
        <w:t>Sin más por el momento, me despido de usted.</w:t>
      </w:r>
    </w:p>
    <w:p w14:paraId="33650FFA" w14:textId="77777777" w:rsidR="00F03573" w:rsidRPr="00F21199" w:rsidRDefault="00F03573" w:rsidP="00F03573">
      <w:pPr>
        <w:jc w:val="both"/>
        <w:rPr>
          <w:sz w:val="32"/>
          <w:szCs w:val="32"/>
        </w:rPr>
      </w:pPr>
    </w:p>
    <w:p w14:paraId="4722A5D6" w14:textId="77777777" w:rsidR="00F03573" w:rsidRPr="00F21199" w:rsidRDefault="00F03573" w:rsidP="00F03573">
      <w:pPr>
        <w:jc w:val="both"/>
        <w:rPr>
          <w:b/>
          <w:sz w:val="32"/>
          <w:szCs w:val="32"/>
        </w:rPr>
      </w:pPr>
      <w:r w:rsidRPr="00F21199">
        <w:rPr>
          <w:b/>
          <w:sz w:val="32"/>
          <w:szCs w:val="32"/>
        </w:rPr>
        <w:t>Atentamente.</w:t>
      </w:r>
    </w:p>
    <w:p w14:paraId="1740EF8A" w14:textId="77777777" w:rsidR="00F03573" w:rsidRPr="00F21199" w:rsidRDefault="00F03573" w:rsidP="00F03573">
      <w:pPr>
        <w:jc w:val="both"/>
        <w:rPr>
          <w:b/>
          <w:sz w:val="32"/>
          <w:szCs w:val="32"/>
        </w:rPr>
      </w:pPr>
    </w:p>
    <w:p w14:paraId="31325115" w14:textId="77777777" w:rsidR="00F03573" w:rsidRPr="00F21199" w:rsidRDefault="00F03573" w:rsidP="00F03573">
      <w:pPr>
        <w:jc w:val="both"/>
        <w:rPr>
          <w:b/>
          <w:sz w:val="32"/>
          <w:szCs w:val="32"/>
        </w:rPr>
      </w:pPr>
    </w:p>
    <w:p w14:paraId="725D6532" w14:textId="77777777" w:rsidR="00F03573" w:rsidRPr="00F21199" w:rsidRDefault="00F03573" w:rsidP="00F03573">
      <w:pPr>
        <w:jc w:val="both"/>
        <w:rPr>
          <w:b/>
          <w:sz w:val="32"/>
          <w:szCs w:val="32"/>
        </w:rPr>
      </w:pPr>
    </w:p>
    <w:p w14:paraId="040035D0" w14:textId="77777777" w:rsidR="00F03573" w:rsidRPr="00F21199" w:rsidRDefault="00F03573" w:rsidP="00F03573">
      <w:pPr>
        <w:jc w:val="both"/>
        <w:rPr>
          <w:b/>
          <w:sz w:val="32"/>
          <w:szCs w:val="32"/>
        </w:rPr>
      </w:pPr>
    </w:p>
    <w:p w14:paraId="171D2FC7" w14:textId="77777777" w:rsidR="00F03573" w:rsidRDefault="00F03573" w:rsidP="00F03573">
      <w:pPr>
        <w:jc w:val="both"/>
        <w:rPr>
          <w:b/>
          <w:sz w:val="32"/>
          <w:szCs w:val="32"/>
        </w:rPr>
      </w:pPr>
      <w:r>
        <w:rPr>
          <w:b/>
          <w:sz w:val="32"/>
          <w:szCs w:val="32"/>
        </w:rPr>
        <w:t>Nombre</w:t>
      </w:r>
    </w:p>
    <w:p w14:paraId="55BE9625" w14:textId="77777777" w:rsidR="00F03573" w:rsidRDefault="00F03573" w:rsidP="00F03573">
      <w:pPr>
        <w:jc w:val="both"/>
        <w:rPr>
          <w:b/>
          <w:sz w:val="32"/>
          <w:szCs w:val="32"/>
        </w:rPr>
      </w:pPr>
      <w:r>
        <w:rPr>
          <w:b/>
          <w:sz w:val="32"/>
          <w:szCs w:val="32"/>
        </w:rPr>
        <w:t>Matrícula</w:t>
      </w:r>
    </w:p>
    <w:p w14:paraId="0B92F3C5" w14:textId="77777777" w:rsidR="00F03573" w:rsidRDefault="00F03573" w:rsidP="00F03573">
      <w:pPr>
        <w:jc w:val="both"/>
        <w:rPr>
          <w:b/>
          <w:sz w:val="32"/>
          <w:szCs w:val="32"/>
        </w:rPr>
      </w:pPr>
      <w:r>
        <w:rPr>
          <w:b/>
          <w:sz w:val="32"/>
          <w:szCs w:val="32"/>
        </w:rPr>
        <w:t>Licenciatura</w:t>
      </w:r>
    </w:p>
    <w:p w14:paraId="1F9E7661" w14:textId="77777777" w:rsidR="00F03573" w:rsidRDefault="00F03573" w:rsidP="00F03573">
      <w:pPr>
        <w:jc w:val="both"/>
        <w:rPr>
          <w:b/>
          <w:sz w:val="32"/>
          <w:szCs w:val="32"/>
        </w:rPr>
      </w:pPr>
      <w:r>
        <w:rPr>
          <w:b/>
          <w:sz w:val="32"/>
          <w:szCs w:val="32"/>
        </w:rPr>
        <w:t>No. Telefónico</w:t>
      </w:r>
    </w:p>
    <w:p w14:paraId="1D30285A" w14:textId="77777777" w:rsidR="00F03573" w:rsidRDefault="00F03573" w:rsidP="00F03573">
      <w:pPr>
        <w:jc w:val="both"/>
        <w:rPr>
          <w:b/>
          <w:sz w:val="32"/>
          <w:szCs w:val="32"/>
        </w:rPr>
      </w:pPr>
      <w:r>
        <w:rPr>
          <w:b/>
          <w:sz w:val="32"/>
          <w:szCs w:val="32"/>
        </w:rPr>
        <w:t>No. Celular</w:t>
      </w:r>
    </w:p>
    <w:p w14:paraId="5B88D89D" w14:textId="77777777" w:rsidR="00F03573" w:rsidRDefault="00F03573" w:rsidP="00F03573">
      <w:pPr>
        <w:jc w:val="both"/>
      </w:pPr>
      <w:r>
        <w:rPr>
          <w:b/>
          <w:sz w:val="32"/>
          <w:szCs w:val="32"/>
        </w:rPr>
        <w:t>Correo</w:t>
      </w:r>
    </w:p>
    <w:p w14:paraId="1A19A332" w14:textId="77777777" w:rsidR="00F03573" w:rsidRPr="00040A97" w:rsidRDefault="00F03573">
      <w:pPr>
        <w:rPr>
          <w:rFonts w:ascii="Arial" w:hAnsi="Arial" w:cs="Arial"/>
        </w:rPr>
      </w:pPr>
    </w:p>
    <w:sectPr w:rsidR="00F03573" w:rsidRPr="00040A97" w:rsidSect="004A46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Títulos en alf">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471" w:hanging="360"/>
      </w:pPr>
      <w:rPr>
        <w:rFonts w:ascii="Symbol" w:hAnsi="Symbol" w:cs="Symbol"/>
        <w:b w:val="0"/>
        <w:bCs w:val="0"/>
        <w:i w:val="0"/>
        <w:iCs w:val="0"/>
        <w:w w:val="76"/>
        <w:sz w:val="18"/>
        <w:szCs w:val="18"/>
      </w:rPr>
    </w:lvl>
    <w:lvl w:ilvl="1">
      <w:numFmt w:val="bullet"/>
      <w:lvlText w:val="ï"/>
      <w:lvlJc w:val="left"/>
      <w:pPr>
        <w:ind w:left="1253" w:hanging="360"/>
      </w:pPr>
    </w:lvl>
    <w:lvl w:ilvl="2">
      <w:numFmt w:val="bullet"/>
      <w:lvlText w:val="ï"/>
      <w:lvlJc w:val="left"/>
      <w:pPr>
        <w:ind w:left="2026" w:hanging="360"/>
      </w:pPr>
    </w:lvl>
    <w:lvl w:ilvl="3">
      <w:numFmt w:val="bullet"/>
      <w:lvlText w:val="ï"/>
      <w:lvlJc w:val="left"/>
      <w:pPr>
        <w:ind w:left="2799" w:hanging="360"/>
      </w:pPr>
    </w:lvl>
    <w:lvl w:ilvl="4">
      <w:numFmt w:val="bullet"/>
      <w:lvlText w:val="ï"/>
      <w:lvlJc w:val="left"/>
      <w:pPr>
        <w:ind w:left="3572" w:hanging="360"/>
      </w:pPr>
    </w:lvl>
    <w:lvl w:ilvl="5">
      <w:numFmt w:val="bullet"/>
      <w:lvlText w:val="ï"/>
      <w:lvlJc w:val="left"/>
      <w:pPr>
        <w:ind w:left="4346" w:hanging="360"/>
      </w:pPr>
    </w:lvl>
    <w:lvl w:ilvl="6">
      <w:numFmt w:val="bullet"/>
      <w:lvlText w:val="ï"/>
      <w:lvlJc w:val="left"/>
      <w:pPr>
        <w:ind w:left="5119" w:hanging="360"/>
      </w:pPr>
    </w:lvl>
    <w:lvl w:ilvl="7">
      <w:numFmt w:val="bullet"/>
      <w:lvlText w:val="ï"/>
      <w:lvlJc w:val="left"/>
      <w:pPr>
        <w:ind w:left="5892" w:hanging="360"/>
      </w:pPr>
    </w:lvl>
    <w:lvl w:ilvl="8">
      <w:numFmt w:val="bullet"/>
      <w:lvlText w:val="ï"/>
      <w:lvlJc w:val="left"/>
      <w:pPr>
        <w:ind w:left="6665" w:hanging="360"/>
      </w:pPr>
    </w:lvl>
  </w:abstractNum>
  <w:num w:numId="1" w16cid:durableId="83611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97"/>
    <w:rsid w:val="000404D9"/>
    <w:rsid w:val="00040A97"/>
    <w:rsid w:val="00057FE2"/>
    <w:rsid w:val="0017164D"/>
    <w:rsid w:val="001E51C6"/>
    <w:rsid w:val="002D15E9"/>
    <w:rsid w:val="0038645C"/>
    <w:rsid w:val="004A46CD"/>
    <w:rsid w:val="004D53F6"/>
    <w:rsid w:val="00516D23"/>
    <w:rsid w:val="0074682F"/>
    <w:rsid w:val="007E4A6F"/>
    <w:rsid w:val="007F515C"/>
    <w:rsid w:val="0085155C"/>
    <w:rsid w:val="00890CEC"/>
    <w:rsid w:val="0091727D"/>
    <w:rsid w:val="009928AB"/>
    <w:rsid w:val="009E171A"/>
    <w:rsid w:val="00BD50CB"/>
    <w:rsid w:val="00DD6A71"/>
    <w:rsid w:val="00F03573"/>
    <w:rsid w:val="00F91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A309"/>
  <w15:chartTrackingRefBased/>
  <w15:docId w15:val="{687BB432-3C2C-C84F-8DEF-BA07C20F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7F515C"/>
    <w:pPr>
      <w:keepNext/>
      <w:keepLines/>
      <w:spacing w:line="360" w:lineRule="auto"/>
      <w:jc w:val="both"/>
      <w:outlineLvl w:val="1"/>
    </w:pPr>
    <w:rPr>
      <w:rFonts w:ascii="Arial" w:eastAsiaTheme="majorEastAsia" w:hAnsi="Arial" w:cs="Times New Roman (Títulos en alf"/>
      <w:b/>
      <w:sz w:val="28"/>
      <w:szCs w:val="26"/>
    </w:rPr>
  </w:style>
  <w:style w:type="paragraph" w:styleId="Heading4">
    <w:name w:val="heading 4"/>
    <w:basedOn w:val="Normal"/>
    <w:next w:val="Normal"/>
    <w:link w:val="Heading4Char"/>
    <w:rsid w:val="007F515C"/>
    <w:pPr>
      <w:keepNext/>
      <w:keepLines/>
      <w:spacing w:before="120" w:after="120" w:line="360" w:lineRule="auto"/>
      <w:jc w:val="both"/>
      <w:outlineLvl w:val="3"/>
    </w:pPr>
    <w:rPr>
      <w:rFonts w:ascii="Arial" w:eastAsia="Calibri" w:hAnsi="Arial" w:cs="Calibri"/>
      <w:b/>
      <w:sz w:val="28"/>
      <w:lang w:val="es-419"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15C"/>
    <w:rPr>
      <w:rFonts w:ascii="Arial" w:eastAsia="Calibri" w:hAnsi="Arial" w:cs="Calibri"/>
      <w:b/>
      <w:sz w:val="28"/>
      <w:lang w:val="es-419" w:eastAsia="es-MX"/>
    </w:rPr>
  </w:style>
  <w:style w:type="character" w:styleId="FootnoteReference">
    <w:name w:val="footnote reference"/>
    <w:basedOn w:val="DefaultParagraphFont"/>
    <w:uiPriority w:val="99"/>
    <w:unhideWhenUsed/>
    <w:qFormat/>
    <w:rsid w:val="007F515C"/>
    <w:rPr>
      <w:vertAlign w:val="superscript"/>
    </w:rPr>
  </w:style>
  <w:style w:type="character" w:customStyle="1" w:styleId="Heading2Char">
    <w:name w:val="Heading 2 Char"/>
    <w:basedOn w:val="DefaultParagraphFont"/>
    <w:link w:val="Heading2"/>
    <w:uiPriority w:val="9"/>
    <w:rsid w:val="007F515C"/>
    <w:rPr>
      <w:rFonts w:ascii="Arial" w:eastAsiaTheme="majorEastAsia" w:hAnsi="Arial" w:cs="Times New Roman (Títulos en alf"/>
      <w:b/>
      <w:sz w:val="28"/>
      <w:szCs w:val="26"/>
    </w:rPr>
  </w:style>
  <w:style w:type="character" w:styleId="Hyperlink">
    <w:name w:val="Hyperlink"/>
    <w:basedOn w:val="DefaultParagraphFont"/>
    <w:uiPriority w:val="99"/>
    <w:unhideWhenUsed/>
    <w:rsid w:val="00DD6A71"/>
    <w:rPr>
      <w:color w:val="0563C1" w:themeColor="hyperlink"/>
      <w:u w:val="single"/>
    </w:rPr>
  </w:style>
  <w:style w:type="character" w:styleId="UnresolvedMention">
    <w:name w:val="Unresolved Mention"/>
    <w:basedOn w:val="DefaultParagraphFont"/>
    <w:uiPriority w:val="99"/>
    <w:semiHidden/>
    <w:unhideWhenUsed/>
    <w:rsid w:val="00DD6A71"/>
    <w:rPr>
      <w:color w:val="605E5C"/>
      <w:shd w:val="clear" w:color="auto" w:fill="E1DFDD"/>
    </w:rPr>
  </w:style>
  <w:style w:type="paragraph" w:customStyle="1" w:styleId="TableParagraph">
    <w:name w:val="Table Paragraph"/>
    <w:basedOn w:val="Normal"/>
    <w:uiPriority w:val="1"/>
    <w:qFormat/>
    <w:rsid w:val="0091727D"/>
    <w:pPr>
      <w:autoSpaceDE w:val="0"/>
      <w:autoSpaceDN w:val="0"/>
      <w:adjustRightInd w:val="0"/>
      <w:ind w:left="471" w:hanging="360"/>
      <w:jc w:val="both"/>
    </w:pPr>
    <w:rPr>
      <w:rFonts w:ascii="Arial" w:hAnsi="Arial" w:cs="Arial"/>
    </w:rPr>
  </w:style>
  <w:style w:type="character" w:styleId="FollowedHyperlink">
    <w:name w:val="FollowedHyperlink"/>
    <w:basedOn w:val="DefaultParagraphFont"/>
    <w:uiPriority w:val="99"/>
    <w:semiHidden/>
    <w:unhideWhenUsed/>
    <w:rsid w:val="007468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820958">
      <w:bodyDiv w:val="1"/>
      <w:marLeft w:val="0"/>
      <w:marRight w:val="0"/>
      <w:marTop w:val="0"/>
      <w:marBottom w:val="0"/>
      <w:divBdr>
        <w:top w:val="none" w:sz="0" w:space="0" w:color="auto"/>
        <w:left w:val="none" w:sz="0" w:space="0" w:color="auto"/>
        <w:bottom w:val="none" w:sz="0" w:space="0" w:color="auto"/>
        <w:right w:val="none" w:sz="0" w:space="0" w:color="auto"/>
      </w:divBdr>
    </w:div>
    <w:div w:id="1441681516">
      <w:bodyDiv w:val="1"/>
      <w:marLeft w:val="0"/>
      <w:marRight w:val="0"/>
      <w:marTop w:val="0"/>
      <w:marBottom w:val="0"/>
      <w:divBdr>
        <w:top w:val="none" w:sz="0" w:space="0" w:color="auto"/>
        <w:left w:val="none" w:sz="0" w:space="0" w:color="auto"/>
        <w:bottom w:val="none" w:sz="0" w:space="0" w:color="auto"/>
        <w:right w:val="none" w:sz="0" w:space="0" w:color="auto"/>
      </w:divBdr>
    </w:div>
    <w:div w:id="1772699846">
      <w:bodyDiv w:val="1"/>
      <w:marLeft w:val="0"/>
      <w:marRight w:val="0"/>
      <w:marTop w:val="0"/>
      <w:marBottom w:val="0"/>
      <w:divBdr>
        <w:top w:val="none" w:sz="0" w:space="0" w:color="auto"/>
        <w:left w:val="none" w:sz="0" w:space="0" w:color="auto"/>
        <w:bottom w:val="none" w:sz="0" w:space="0" w:color="auto"/>
        <w:right w:val="none" w:sz="0" w:space="0" w:color="auto"/>
      </w:divBdr>
    </w:div>
    <w:div w:id="1945917999">
      <w:bodyDiv w:val="1"/>
      <w:marLeft w:val="0"/>
      <w:marRight w:val="0"/>
      <w:marTop w:val="0"/>
      <w:marBottom w:val="0"/>
      <w:divBdr>
        <w:top w:val="none" w:sz="0" w:space="0" w:color="auto"/>
        <w:left w:val="none" w:sz="0" w:space="0" w:color="auto"/>
        <w:bottom w:val="none" w:sz="0" w:space="0" w:color="auto"/>
        <w:right w:val="none" w:sz="0" w:space="0" w:color="auto"/>
      </w:divBdr>
    </w:div>
    <w:div w:id="212430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se.uam.mx/index.php/tramites-y-servicios/acreditacion-de-estudios" TargetMode="External"/><Relationship Id="rId5" Type="http://schemas.openxmlformats.org/officeDocument/2006/relationships/hyperlink" Target="mailto:cses@xanum.uam.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419</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Edmundo Gerardo Urbina Medal</cp:lastModifiedBy>
  <cp:revision>14</cp:revision>
  <dcterms:created xsi:type="dcterms:W3CDTF">2022-05-09T15:53:00Z</dcterms:created>
  <dcterms:modified xsi:type="dcterms:W3CDTF">2026-01-27T21:46:00Z</dcterms:modified>
</cp:coreProperties>
</file>